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56" w:beforeLines="50" w:after="312" w:afterLines="100" w:line="560" w:lineRule="exact"/>
        <w:jc w:val="center"/>
        <w:rPr>
          <w:rFonts w:hint="default" w:ascii="Arial Unicode MS" w:hAnsi="华文中宋" w:eastAsia="Arial Unicode MS" w:cs="华文中宋"/>
        </w:rPr>
      </w:pPr>
      <w:r>
        <w:rPr>
          <w:rFonts w:hint="default" w:ascii="华文中宋" w:hAnsi="华文中宋" w:eastAsia="华文中宋" w:cs="华文中宋"/>
          <w:color w:val="444444"/>
        </w:rPr>
        <w:t xml:space="preserve"> </w:t>
      </w:r>
      <w:r>
        <w:rPr>
          <w:rFonts w:ascii="Arial Unicode MS" w:hAnsi="华文中宋" w:eastAsia="Arial Unicode MS" w:cs="华文中宋"/>
          <w:color w:val="444444"/>
        </w:rPr>
        <w:t>研究生培养与课程改革项目立项名单</w:t>
      </w:r>
    </w:p>
    <w:tbl>
      <w:tblPr>
        <w:tblStyle w:val="3"/>
        <w:tblpPr w:leftFromText="180" w:rightFromText="180" w:vertAnchor="text" w:horzAnchor="page" w:tblpX="1662" w:tblpY="264"/>
        <w:tblOverlap w:val="never"/>
        <w:tblW w:w="87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1"/>
        <w:gridCol w:w="1121"/>
        <w:gridCol w:w="2037"/>
        <w:gridCol w:w="4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lightGray"/>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申报人</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 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bookmarkStart w:id="0" w:name="_GoBack"/>
            <w:bookmarkEnd w:id="0"/>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贺相春</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教育技术学院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基于OBE理念的研究生培养模式构建与实证研究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侯选明</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基于核心能力的“习近平总书记教育重要论述研究”四维互推式教学改革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董晓辉</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计算机科学与工程学院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专业学位研究生实践教学全过程管理研究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杜怀玉</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社会发展与公共管理学院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《土地利用规划》课程教学改革研究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李家莉</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世界史思政混合式教学模式研究与探索——以“英国文明史”为例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谢丽丽</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社会发展与公共管理学院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社会工作专业课程项目式教学研究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田玉柱</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数学与统计学院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应用统计专硕《回归分析与统计模型》课程教学模式改革与实践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龚沁宜</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“双一流”背景下“421”模式在金融专硕课程教学改革中的研究与实践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冯玉新</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基于关怀理论的导师与研究生和谐关系构建研究——以西北师范大学为例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兰海霞</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经典阅读与专业课程教学的有机结合--以《当代西方经济学流派》课程为例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白亮</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教育科学学院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《田野工作理论与方法》课程教学模式创新研究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朱雅雯</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心理学院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基于“知识-能力-实践”的应用心理专业人才培养模式的探索与实践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杨志成</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计算机科学与工程学院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职业技术教育专业学位硕士研究生培养的问题及对策研究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张荣华</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心理学院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建构主义框架下基于项目的教学法在《发展心理学》中的应用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钟莉莉</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全日制专业学位研究生实践管理研究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吴永红</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教育技术学院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科技创新校本课程改革与实践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史煜娟</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产教融合校企双元育人的商科研究生教育模式与实践路径研究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张超</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博士学位论文质量分析及提升对策研究--以西北师范大学为例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王力</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MTA研究生课程教学模式改革研究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李健</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化学化工学院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《现代分离技术》课程模块化教学与实验创新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吴晓昱</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外国语学院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中国日报双语新闻案例读析提升非英语专业研究生研究能力教学模式研究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赵润娣</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社会发展与公共管理学院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数字时代背景下《电子政务》课程教学创新研究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何迎朝</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商学院</w:t>
            </w:r>
          </w:p>
        </w:tc>
        <w:tc>
          <w:tcPr>
            <w:tcW w:w="4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任务驱动式《数据、模型与决策》课程</w:t>
            </w:r>
          </w:p>
        </w:tc>
      </w:tr>
    </w:tbl>
    <w:p>
      <w:pPr>
        <w:widowControl/>
        <w:jc w:val="center"/>
        <w:textAlignment w:val="center"/>
        <w:rPr>
          <w:rFonts w:ascii="宋体" w:hAnsi="宋体" w:cs="宋体"/>
          <w:color w:val="000000"/>
          <w:kern w:val="0"/>
          <w:sz w:val="24"/>
          <w:lang w:bidi="ar"/>
        </w:rPr>
      </w:pPr>
    </w:p>
    <w:p>
      <w:pPr>
        <w:widowControl/>
        <w:jc w:val="center"/>
        <w:textAlignment w:val="center"/>
        <w:rPr>
          <w:rFonts w:ascii="宋体" w:hAnsi="宋体" w:cs="宋体"/>
          <w:color w:val="000000"/>
          <w:kern w:val="0"/>
          <w:sz w:val="24"/>
          <w:lang w:bidi="ar"/>
        </w:rPr>
      </w:pPr>
    </w:p>
    <w:p>
      <w:pPr>
        <w:widowControl/>
        <w:jc w:val="both"/>
        <w:textAlignment w:val="center"/>
        <w:rPr>
          <w:rFonts w:ascii="宋体" w:hAnsi="宋体" w:cs="宋体"/>
          <w:color w:val="000000"/>
          <w:kern w:val="0"/>
          <w:sz w:val="24"/>
          <w:lang w:bidi="ar"/>
        </w:rPr>
        <w:sectPr>
          <w:pgSz w:w="11906" w:h="16838"/>
          <w:pgMar w:top="1077" w:right="1797" w:bottom="1077" w:left="1797" w:header="851" w:footer="992" w:gutter="0"/>
          <w:pgBorders>
            <w:top w:val="none" w:sz="0" w:space="0"/>
            <w:left w:val="none" w:sz="0" w:space="0"/>
            <w:bottom w:val="none" w:sz="0" w:space="0"/>
            <w:right w:val="none" w:sz="0" w:space="0"/>
          </w:pgBorders>
          <w:cols w:space="720" w:num="1"/>
          <w:docGrid w:type="lines" w:linePitch="312" w:charSpace="0"/>
        </w:sectPr>
      </w:pPr>
    </w:p>
    <w:p>
      <w:pPr>
        <w:pStyle w:val="2"/>
        <w:widowControl/>
        <w:spacing w:before="156" w:beforeLines="50" w:after="312" w:afterLines="100" w:line="560" w:lineRule="exact"/>
        <w:jc w:val="center"/>
        <w:rPr>
          <w:rFonts w:hint="default" w:ascii="Arial Unicode MS" w:hAnsi="华文中宋" w:eastAsia="Arial Unicode MS" w:cs="华文中宋"/>
          <w:color w:val="444444"/>
        </w:rPr>
      </w:pPr>
      <w:r>
        <w:rPr>
          <w:rFonts w:ascii="Arial Unicode MS" w:hAnsi="华文中宋" w:eastAsia="Arial Unicode MS" w:cs="华文中宋"/>
          <w:color w:val="444444"/>
        </w:rPr>
        <w:t>专业学位研究生教学案例库建设项目立项名单</w:t>
      </w:r>
    </w:p>
    <w:tbl>
      <w:tblPr>
        <w:tblStyle w:val="3"/>
        <w:tblpPr w:leftFromText="180" w:rightFromText="180" w:vertAnchor="text" w:horzAnchor="page" w:tblpX="1676" w:tblpY="178"/>
        <w:tblOverlap w:val="never"/>
        <w:tblW w:w="8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2"/>
        <w:gridCol w:w="975"/>
        <w:gridCol w:w="3090"/>
        <w:gridCol w:w="4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申报人</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  院</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张定强</w:t>
            </w:r>
          </w:p>
        </w:tc>
        <w:tc>
          <w:tcPr>
            <w:tcW w:w="3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教师教育学院</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问题导向下的学科教学（数学）专硕案例库建设研究—以“统计与概率”为例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田玉柱</w:t>
            </w:r>
          </w:p>
        </w:tc>
        <w:tc>
          <w:tcPr>
            <w:tcW w:w="3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数学与统计学院</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应用统计专硕研究生课程案例库建设---以回归分析和线性模型课程为例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高小强</w:t>
            </w:r>
          </w:p>
        </w:tc>
        <w:tc>
          <w:tcPr>
            <w:tcW w:w="3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教师教育学院</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《班主任与班级管理》教学案例库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方洁</w:t>
            </w:r>
          </w:p>
        </w:tc>
        <w:tc>
          <w:tcPr>
            <w:tcW w:w="3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教师教育学院</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学科核心素养视域下中学化学教学设计案例库建设研究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冯玉新</w:t>
            </w:r>
          </w:p>
        </w:tc>
        <w:tc>
          <w:tcPr>
            <w:tcW w:w="3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旅游学院</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丝绸之路中国段文旅融合案例库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吴永红</w:t>
            </w:r>
          </w:p>
        </w:tc>
        <w:tc>
          <w:tcPr>
            <w:tcW w:w="3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教育技术学院</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科技创新能力培养案例库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任志明</w:t>
            </w:r>
          </w:p>
        </w:tc>
        <w:tc>
          <w:tcPr>
            <w:tcW w:w="3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传媒学院</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《影视媒体创意与策划研究》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曹华</w:t>
            </w:r>
          </w:p>
        </w:tc>
        <w:tc>
          <w:tcPr>
            <w:tcW w:w="3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心理学院</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发展与教育双向作用的深化与整合式教学案例库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何迎朝</w:t>
            </w:r>
          </w:p>
        </w:tc>
        <w:tc>
          <w:tcPr>
            <w:tcW w:w="3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商学院</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马文静</w:t>
            </w:r>
          </w:p>
        </w:tc>
        <w:tc>
          <w:tcPr>
            <w:tcW w:w="3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商学院</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《组织行为学》课程案例库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党惠娟</w:t>
            </w:r>
          </w:p>
        </w:tc>
        <w:tc>
          <w:tcPr>
            <w:tcW w:w="3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法学院</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《刑事司法前沿》教学经典案例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吴迪</w:t>
            </w:r>
          </w:p>
        </w:tc>
        <w:tc>
          <w:tcPr>
            <w:tcW w:w="3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法学院</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《劳动与社会保障法专题》教学经典案例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蔡宏伟</w:t>
            </w:r>
          </w:p>
        </w:tc>
        <w:tc>
          <w:tcPr>
            <w:tcW w:w="3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法学院</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《债法理论与实务》教学案例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苟平章</w:t>
            </w:r>
          </w:p>
        </w:tc>
        <w:tc>
          <w:tcPr>
            <w:tcW w:w="30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计算机科学与工程学院</w:t>
            </w:r>
          </w:p>
        </w:tc>
        <w:tc>
          <w:tcPr>
            <w:tcW w:w="4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《计算机应用教学设计与案例分析》教学案例库建设</w:t>
            </w:r>
          </w:p>
        </w:tc>
      </w:tr>
    </w:tbl>
    <w:p>
      <w:pPr>
        <w:widowControl/>
        <w:jc w:val="center"/>
        <w:textAlignment w:val="center"/>
        <w:rPr>
          <w:rFonts w:ascii="华文中宋" w:hAnsi="华文中宋" w:eastAsia="华文中宋" w:cs="华文中宋"/>
          <w:b/>
          <w:kern w:val="0"/>
          <w:sz w:val="36"/>
          <w:szCs w:val="36"/>
          <w:lang w:bidi="ar"/>
        </w:rPr>
        <w:sectPr>
          <w:pgSz w:w="11906" w:h="16838"/>
          <w:pgMar w:top="1440" w:right="1080" w:bottom="1440" w:left="1080" w:header="851" w:footer="992" w:gutter="0"/>
          <w:pgBorders>
            <w:top w:val="none" w:sz="0" w:space="0"/>
            <w:left w:val="none" w:sz="0" w:space="0"/>
            <w:bottom w:val="none" w:sz="0" w:space="0"/>
            <w:right w:val="none" w:sz="0" w:space="0"/>
          </w:pgBorders>
          <w:cols w:space="720" w:num="1"/>
          <w:docGrid w:type="lines" w:linePitch="312" w:charSpace="0"/>
        </w:sectPr>
      </w:pPr>
    </w:p>
    <w:p>
      <w:pPr>
        <w:pStyle w:val="2"/>
        <w:widowControl/>
        <w:spacing w:before="156" w:beforeLines="50" w:after="312" w:afterLines="100" w:line="560" w:lineRule="exact"/>
        <w:jc w:val="center"/>
        <w:rPr>
          <w:rFonts w:ascii="华文中宋" w:hAnsi="华文中宋" w:eastAsia="华文中宋" w:cs="华文中宋"/>
          <w:b w:val="0"/>
          <w:kern w:val="0"/>
          <w:sz w:val="36"/>
          <w:szCs w:val="36"/>
          <w:lang w:bidi="ar"/>
        </w:rPr>
      </w:pPr>
      <w:r>
        <w:rPr>
          <w:rFonts w:ascii="Arial Unicode MS" w:hAnsi="华文中宋" w:eastAsia="Arial Unicode MS" w:cs="华文中宋"/>
          <w:color w:val="444444"/>
        </w:rPr>
        <w:t>研究生一流教材建设项目立项名单</w:t>
      </w:r>
    </w:p>
    <w:tbl>
      <w:tblPr>
        <w:tblStyle w:val="3"/>
        <w:tblpPr w:leftFromText="180" w:rightFromText="180" w:vertAnchor="text" w:horzAnchor="page" w:tblpX="1689" w:tblpY="401"/>
        <w:tblOverlap w:val="never"/>
        <w:tblW w:w="86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1"/>
        <w:gridCol w:w="1965"/>
        <w:gridCol w:w="1965"/>
        <w:gridCol w:w="4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申报人</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  院</w:t>
            </w:r>
          </w:p>
        </w:tc>
        <w:tc>
          <w:tcPr>
            <w:tcW w:w="4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陶兴华</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历史文化学院</w:t>
            </w:r>
          </w:p>
        </w:tc>
        <w:tc>
          <w:tcPr>
            <w:tcW w:w="4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《历史学研究生论文写作教程》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林恒，徐兆寿</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传媒学院 </w:t>
            </w:r>
          </w:p>
        </w:tc>
        <w:tc>
          <w:tcPr>
            <w:tcW w:w="4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《影视改编理论与实践》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陈开军</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经济学院</w:t>
            </w:r>
          </w:p>
        </w:tc>
        <w:tc>
          <w:tcPr>
            <w:tcW w:w="4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《世界经济前沿问题研究》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刘再聪，李并成</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历史文化学院</w:t>
            </w:r>
          </w:p>
        </w:tc>
        <w:tc>
          <w:tcPr>
            <w:tcW w:w="4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《敦煌文化概论》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王耀斌</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旅游学院</w:t>
            </w:r>
          </w:p>
        </w:tc>
        <w:tc>
          <w:tcPr>
            <w:tcW w:w="4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《乡村振兴视角的乡村旅游规划理论与实践》</w:t>
            </w:r>
          </w:p>
        </w:tc>
      </w:tr>
    </w:tbl>
    <w:p>
      <w:pPr>
        <w:widowControl/>
        <w:jc w:val="center"/>
        <w:textAlignment w:val="center"/>
        <w:rPr>
          <w:rFonts w:ascii="华文中宋" w:hAnsi="华文中宋" w:eastAsia="华文中宋" w:cs="华文中宋"/>
          <w:b/>
          <w:kern w:val="0"/>
          <w:sz w:val="36"/>
          <w:szCs w:val="36"/>
          <w:lang w:bidi="ar"/>
        </w:rPr>
        <w:sectPr>
          <w:pgSz w:w="11906" w:h="16838"/>
          <w:pgMar w:top="1440" w:right="1080" w:bottom="1440" w:left="1080" w:header="851" w:footer="992" w:gutter="0"/>
          <w:pgBorders>
            <w:top w:val="none" w:sz="0" w:space="0"/>
            <w:left w:val="none" w:sz="0" w:space="0"/>
            <w:bottom w:val="none" w:sz="0" w:space="0"/>
            <w:right w:val="none" w:sz="0" w:space="0"/>
          </w:pgBorders>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N2JmOTQ4MjliZGQ0ZGI0Njc1ZTE1NzhkODVlYWMifQ=="/>
  </w:docVars>
  <w:rsids>
    <w:rsidRoot w:val="00000000"/>
    <w:rsid w:val="1E9D798D"/>
    <w:rsid w:val="4A44330B"/>
    <w:rsid w:val="76D82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1"/>
    </w:pPr>
    <w:rPr>
      <w:rFonts w:hint="eastAsia" w:ascii="宋体" w:hAnsi="宋体" w:eastAsia="宋体" w:cs="宋体"/>
      <w:b/>
      <w:kern w:val="0"/>
      <w:sz w:val="36"/>
      <w:szCs w:val="36"/>
      <w:lang w:val="en-US" w:eastAsia="zh-CN" w:bidi="ar"/>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2024-03-07T08:24:21Z</dcterms:created>
  <dc:creator>hp</dc:creator>
  <cp:lastModifiedBy>李欣</cp:lastModifiedBy>
  <dcterms:modified xsi:type="dcterms:W3CDTF">2024-03-07T08:26:28Z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E3292A72B5E74A4080F86DEA1DC9525B_12</vt:lpwstr>
  </property>
</Properties>
</file>